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6" w:rsidRPr="0027269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272696" w:rsidRPr="0027269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«Экспертно-методический центр»</w:t>
      </w:r>
    </w:p>
    <w:p w:rsidR="0027269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«</w:t>
      </w: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Cognitus</w:t>
      </w: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»</w:t>
      </w:r>
    </w:p>
    <w:p w:rsidR="001861C5" w:rsidRPr="004D6134" w:rsidRDefault="001861C5" w:rsidP="001861C5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78"/>
        <w:gridCol w:w="2693"/>
      </w:tblGrid>
      <w:tr w:rsidR="001861C5" w:rsidRPr="00560BCB" w:rsidTr="001861C5">
        <w:tc>
          <w:tcPr>
            <w:tcW w:w="2660" w:type="dxa"/>
          </w:tcPr>
          <w:p w:rsidR="001861C5" w:rsidRPr="005614A3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5" r:link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1C5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Международные и Всероссийские</w:t>
            </w:r>
          </w:p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конкурсы, проекты</w:t>
            </w:r>
          </w:p>
          <w:p w:rsidR="001861C5" w:rsidRPr="00100FDA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1C5" w:rsidRPr="00560BCB" w:rsidRDefault="00FC77E6" w:rsidP="001861C5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hyperlink r:id="rId7" w:history="1"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  <w:lang w:val="en-US"/>
                </w:rPr>
                <w:t>www</w:t>
              </w:r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</w:rPr>
                <w:t>.</w:t>
              </w:r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  <w:lang w:val="en-US"/>
                </w:rPr>
                <w:t>emc</w:t>
              </w:r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</w:rPr>
                <w:t>21.</w:t>
              </w:r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1861C5" w:rsidRPr="00560BCB" w:rsidRDefault="001861C5" w:rsidP="001861C5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</w:t>
            </w:r>
            <w:r>
              <w:rPr>
                <w:i/>
                <w:noProof/>
                <w:sz w:val="24"/>
                <w:szCs w:val="24"/>
              </w:rPr>
              <w:t>сайт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  <w:p w:rsidR="001861C5" w:rsidRDefault="00FC77E6" w:rsidP="001861C5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color w:val="0D02EE"/>
              </w:rPr>
            </w:pPr>
            <w:hyperlink r:id="rId8" w:history="1">
              <w:r w:rsidR="001861C5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cognitus</w:t>
              </w:r>
              <w:r w:rsidR="001861C5" w:rsidRPr="00560BCB">
                <w:rPr>
                  <w:b/>
                  <w:color w:val="0D02EE"/>
                  <w:sz w:val="24"/>
                  <w:szCs w:val="24"/>
                </w:rPr>
                <w:t>21@</w:t>
              </w:r>
              <w:r w:rsidR="001861C5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mail</w:t>
              </w:r>
              <w:r w:rsidR="001861C5" w:rsidRPr="00560BCB">
                <w:rPr>
                  <w:b/>
                  <w:color w:val="0D02EE"/>
                  <w:sz w:val="24"/>
                  <w:szCs w:val="24"/>
                </w:rPr>
                <w:t>.</w:t>
              </w:r>
              <w:r w:rsidR="001861C5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1861C5" w:rsidRPr="00560BCB" w:rsidRDefault="001861C5" w:rsidP="001861C5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i/>
                <w:noProof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(е-</w:t>
            </w:r>
            <w:r w:rsidRPr="00560BCB">
              <w:rPr>
                <w:i/>
                <w:noProof/>
                <w:sz w:val="24"/>
                <w:szCs w:val="24"/>
                <w:lang w:val="en-US"/>
              </w:rPr>
              <w:t>mail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</w:tc>
      </w:tr>
    </w:tbl>
    <w:p w:rsidR="00272696" w:rsidRPr="00272696" w:rsidRDefault="00272696" w:rsidP="001861C5">
      <w:pPr>
        <w:tabs>
          <w:tab w:val="center" w:pos="4677"/>
          <w:tab w:val="right" w:pos="9355"/>
        </w:tabs>
        <w:spacing w:after="0" w:line="216" w:lineRule="auto"/>
        <w:ind w:right="-4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513A7" w:rsidRDefault="008513A7" w:rsidP="00551BB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2696" w:rsidRPr="00974CE9" w:rsidRDefault="00272696" w:rsidP="00551BB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Положение о </w:t>
      </w:r>
      <w:r w:rsidRPr="00974CE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660E2C" w:rsidRPr="00974CE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974CE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Международн</w:t>
      </w:r>
      <w:r w:rsidR="00660E2C" w:rsidRPr="00974CE9">
        <w:rPr>
          <w:rFonts w:ascii="Times New Roman" w:eastAsia="Times New Roman" w:hAnsi="Times New Roman" w:cs="Times New Roman"/>
          <w:b/>
          <w:lang w:eastAsia="ru-RU"/>
        </w:rPr>
        <w:t>ом / Всероссийском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конкурсе</w:t>
      </w:r>
    </w:p>
    <w:p w:rsidR="00272696" w:rsidRPr="00974CE9" w:rsidRDefault="00272696" w:rsidP="007E2482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профессионального мастерства</w:t>
      </w:r>
    </w:p>
    <w:p w:rsidR="00272696" w:rsidRPr="00820151" w:rsidRDefault="00272696" w:rsidP="00974CE9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«ПРОФЕССИОНАЛЬНАЯ ПОМОЩЬ </w:t>
      </w:r>
      <w:r w:rsidR="00551BB4"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br/>
      </w: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ЛОГОПЕДА И ПСИХОЛОГА»</w:t>
      </w:r>
    </w:p>
    <w:p w:rsidR="00272696" w:rsidRPr="00974CE9" w:rsidRDefault="00272696" w:rsidP="00551BB4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74CE9">
        <w:rPr>
          <w:rFonts w:ascii="Times New Roman" w:eastAsia="Times New Roman" w:hAnsi="Times New Roman" w:cs="Times New Roman"/>
          <w:i/>
          <w:lang w:eastAsia="ru-RU"/>
        </w:rPr>
        <w:t xml:space="preserve">(с изданием </w:t>
      </w:r>
      <w:r w:rsidR="00660E2C" w:rsidRPr="00974CE9">
        <w:rPr>
          <w:rFonts w:ascii="Times New Roman" w:eastAsia="Times New Roman" w:hAnsi="Times New Roman" w:cs="Times New Roman"/>
          <w:i/>
          <w:lang w:eastAsia="ru-RU"/>
        </w:rPr>
        <w:t xml:space="preserve">электронного </w:t>
      </w:r>
      <w:r w:rsidRPr="00974CE9">
        <w:rPr>
          <w:rFonts w:ascii="Times New Roman" w:eastAsia="Times New Roman" w:hAnsi="Times New Roman" w:cs="Times New Roman"/>
          <w:i/>
          <w:lang w:eastAsia="ru-RU"/>
        </w:rPr>
        <w:t>диска)</w:t>
      </w:r>
    </w:p>
    <w:p w:rsidR="00272696" w:rsidRPr="00272696" w:rsidRDefault="00272696" w:rsidP="00551BB4">
      <w:pPr>
        <w:spacing w:after="0" w:line="216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Международный/всероссийский образовательный конкурс профессионального мастерства «Профессиональная помощь логопеда и психолога»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Негосударственным образовательным учреждением дополнительного профессионального образования «Экспертно-методический центр».</w:t>
      </w:r>
    </w:p>
    <w:p w:rsidR="00272696" w:rsidRPr="00272696" w:rsidRDefault="00272696" w:rsidP="0027269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272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(Свидетельство о государственной регистрации некоммерческой организации № 1209 выдано Министерством Юстиции Российской Федерации; Лицензия на образовательную деятельность серии 21Л01 №0000286).</w:t>
      </w:r>
    </w:p>
    <w:p w:rsidR="00272696" w:rsidRPr="00272696" w:rsidRDefault="00272696" w:rsidP="00EF237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направлен на создание методической копилки логопедов и психологов России для развития научно и методически обоснованной системы обучения, воспитания, развития и перевоспитания личности. </w:t>
      </w:r>
    </w:p>
    <w:p w:rsidR="00272696" w:rsidRPr="00272696" w:rsidRDefault="00272696" w:rsidP="00EF237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конкурса:</w:t>
      </w:r>
    </w:p>
    <w:p w:rsidR="00272696" w:rsidRPr="0027269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педагогических работников, их поддержка и поощрение;</w:t>
      </w:r>
    </w:p>
    <w:p w:rsidR="00272696" w:rsidRPr="0027269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логопедов и психологов на обновление учебно-воспитательного процесса с учетом требований новых стандартов, Федерального закона «Об образовании в Российской Федерации»,</w:t>
      </w:r>
    </w:p>
    <w:p w:rsidR="00272696" w:rsidRPr="0027269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актуального опыта лучших логопедов и психологов Российской Федерации;</w:t>
      </w:r>
    </w:p>
    <w:p w:rsidR="00272696" w:rsidRPr="0027269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2345F8" w:rsidRDefault="00272696" w:rsidP="002345F8">
      <w:pPr>
        <w:spacing w:after="0" w:line="216" w:lineRule="auto"/>
        <w:ind w:right="-82" w:firstLine="567"/>
        <w:jc w:val="both"/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 материалам Конкурса выпускается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(копилка методических разработок, сценариев и пр.), которому присваивается УДК, ББК, авторский знак.</w:t>
      </w:r>
      <w:r w:rsidR="002345F8" w:rsidRPr="002345F8">
        <w:t xml:space="preserve"> </w:t>
      </w:r>
    </w:p>
    <w:p w:rsidR="002345F8" w:rsidRPr="002345F8" w:rsidRDefault="00EF2377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F46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45F8"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Международный/всероссийский образовательный конкурс профессионального мастерства «Профессиональная помощь логопеда и психолога»</w:t>
      </w:r>
      <w:r w:rsid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45F8" w:rsidRPr="00516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</w:t>
      </w:r>
      <w:r w:rsidR="002345F8" w:rsidRPr="00EF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мероприятие: </w:t>
      </w:r>
    </w:p>
    <w:p w:rsidR="002345F8" w:rsidRPr="002345F8" w:rsidRDefault="00EB75EB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данного мероприятия – официальное учреждение, имеющее лицензию;</w:t>
      </w:r>
    </w:p>
    <w:p w:rsidR="002345F8" w:rsidRPr="002345F8" w:rsidRDefault="00EB75EB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 проходят редакционно-издательскую обработку;</w:t>
      </w:r>
    </w:p>
    <w:p w:rsidR="002345F8" w:rsidRPr="002345F8" w:rsidRDefault="00EB75EB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конкурса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издаётся электронный сборник с указанием выходных данных; </w:t>
      </w:r>
    </w:p>
    <w:p w:rsidR="002345F8" w:rsidRPr="002345F8" w:rsidRDefault="001861C5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присваиваются индексы ББК, УДК, авторский знак; </w:t>
      </w:r>
    </w:p>
    <w:p w:rsidR="002345F8" w:rsidRPr="002345F8" w:rsidRDefault="001861C5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Информрегистр</w:t>
      </w:r>
      <w:proofErr w:type="spellEnd"/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(требования ВАК);</w:t>
      </w:r>
    </w:p>
    <w:p w:rsidR="002345F8" w:rsidRPr="002345F8" w:rsidRDefault="001861C5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 электронных сборников – </w:t>
      </w:r>
      <w:r w:rsidR="002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2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Ярутова</w:t>
      </w:r>
      <w:proofErr w:type="spellEnd"/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Организаторы и рабочие органы Конкурса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М.П.</w:t>
      </w:r>
      <w:r w:rsidR="002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Нечаев,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член-корреспондент МАНПО, г. Москва.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</w:hyperlink>
      <w:r w:rsidRPr="002726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72696" w:rsidRPr="00272696" w:rsidRDefault="00272696" w:rsidP="00272696">
      <w:pPr>
        <w:tabs>
          <w:tab w:val="left" w:pos="3303"/>
          <w:tab w:val="center" w:pos="5143"/>
        </w:tabs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</w:t>
      </w:r>
    </w:p>
    <w:p w:rsidR="00272696" w:rsidRPr="0027269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 и психологи России,</w:t>
      </w:r>
    </w:p>
    <w:p w:rsidR="00272696" w:rsidRPr="0027269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аспиранты педагогических вузов.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кандидатур образовательным учреждением.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861C5" w:rsidRP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как индивидуально выполненные работы, так и работы, выполненные авторским коллективом не более 2-х человек.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Конкурсные мероприятия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с 23 ноября 2015 г. по 15 февраля 2016 г. в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тура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 проводится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23 ноября 2015 г. по 25 декабря 2015 г. – представление в адрес Оргкомитета конкурсной работы, заявки на участие в Конкурсе (приложение №1 к Положению) и квитанции об оплате 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день приема заявок – 25 декабря 2015 г.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конкурса представляются в электронном виде по 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2696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hyperlink r:id="rId10" w:history="1"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</w:hyperlink>
      <w:r w:rsidRPr="002726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декабря 2015 года.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-ой тур </w:t>
      </w:r>
      <w:r w:rsidR="0051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2015 года – 15 февраля 2016 года – предполагает изучение конкурсных работ экспертами, определение п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и лауреатов Конкурса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Победителями конкурса становятся 5% участников конкурса, набравших наибольшее количество баллов, лауреатами</w:t>
      </w:r>
      <w:r w:rsidR="001861C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20%.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Все материалы, присланные на конкурс, публикуются в электронном сборнике в течение месяца после опубликования результатов конкурса на сайте </w:t>
      </w:r>
      <w:r w:rsidRPr="0027269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emc21.ru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конкурсанты могут отказаться от публикации своей работы в электронном сборнике, сделав пометку в конкурсной заявке.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публикации высылаются в Оргкомитет как дополнительный (2-й) файл к Заявке.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Конкурсное задание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конкурсе только одно задание – представить (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выбор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методическую разработку, подробный план занятий, программы/проекты и пр. </w:t>
      </w:r>
      <w:r w:rsidRPr="00516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актуальную тему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связанную с деятельностью логопедов или психологов. К конкурсной работе необходимо приложить (на отдельном файле) аннотацию конкурсного материала (не более 1 страницы).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Критерии оценивания.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</w:t>
      </w:r>
      <w:r w:rsidR="001861C5" w:rsidRP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Экспертами оцениваются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726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272696" w:rsidRPr="00272696" w:rsidRDefault="00272696" w:rsidP="002345F8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разработки заявленным целям и задачам;</w:t>
      </w:r>
    </w:p>
    <w:p w:rsidR="00272696" w:rsidRPr="00272696" w:rsidRDefault="00272696" w:rsidP="002345F8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структура и содержание представленной работы;</w:t>
      </w:r>
    </w:p>
    <w:p w:rsidR="00272696" w:rsidRPr="00272696" w:rsidRDefault="00272696" w:rsidP="002345F8">
      <w:pPr>
        <w:numPr>
          <w:ilvl w:val="0"/>
          <w:numId w:val="3"/>
        </w:numPr>
        <w:shd w:val="clear" w:color="auto" w:fill="FFFFFF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практическая значимость разработки;</w:t>
      </w:r>
    </w:p>
    <w:p w:rsidR="00272696" w:rsidRPr="0027269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уровень методической разработки;</w:t>
      </w:r>
    </w:p>
    <w:p w:rsidR="00272696" w:rsidRPr="0027269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стиль и ясность изложения материала;</w:t>
      </w:r>
    </w:p>
    <w:p w:rsidR="00272696" w:rsidRPr="00272696" w:rsidRDefault="00272696" w:rsidP="002345F8">
      <w:pPr>
        <w:numPr>
          <w:ilvl w:val="0"/>
          <w:numId w:val="3"/>
        </w:numPr>
        <w:spacing w:after="0" w:line="216" w:lineRule="auto"/>
        <w:ind w:left="0"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логичность изложения;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конкурсных материалов (чёткий алгоритм);</w:t>
      </w:r>
    </w:p>
    <w:p w:rsidR="00272696" w:rsidRPr="0027269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оформления представленных материалов;</w:t>
      </w:r>
    </w:p>
    <w:p w:rsidR="00272696" w:rsidRPr="0027269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списка использованной литературы в соответствии с ГОСТ </w:t>
      </w:r>
      <w:proofErr w:type="gramStart"/>
      <w:r w:rsidRPr="0027269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</w:t>
      </w:r>
      <w:proofErr w:type="gramEnd"/>
      <w:r w:rsidRPr="0027269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7.0.5-2008.</w:t>
      </w:r>
    </w:p>
    <w:p w:rsidR="00272696" w:rsidRPr="00272696" w:rsidRDefault="00272696" w:rsidP="002345F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712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272696" w:rsidRPr="00272696" w:rsidRDefault="00272696" w:rsidP="00272696">
      <w:pPr>
        <w:tabs>
          <w:tab w:val="left" w:pos="2332"/>
          <w:tab w:val="center" w:pos="5143"/>
        </w:tabs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Выдвижение разработок на Конкурс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участия в Конкурсе необходимо прислать в Оргкомитет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электронном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по электронной почте с пометкой «Конкурс логопедов и психологов»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1) и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квитанцию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декабря 2015 г.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6.2. Допускается выдвижение на Конкурс методической разработки и пр. от группы авторов (не более 3-х). Количество конкурсных работ от одного автора неограничен.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6.3. Экспертная комиссия вправе запросить дополнительную информацию от заявителя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разработок внеклассных мероприятий, сценариев</w:t>
      </w:r>
      <w:r w:rsidRPr="002726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с целью более адекватного оценивания ее содержания.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6.4.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1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Информация </w:t>
      </w: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 итогах Конкурса размещается 21 января 2016</w:t>
      </w:r>
      <w:r w:rsidR="001861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 на сайте</w:t>
      </w:r>
      <w:r w:rsidRPr="00272696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val="en-US" w:eastAsia="ru-RU"/>
        </w:rPr>
        <w:t>http</w:t>
      </w:r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  <w:t>://</w:t>
      </w:r>
      <w:proofErr w:type="spellStart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val="en-US" w:eastAsia="ru-RU"/>
        </w:rPr>
        <w:t>emc</w:t>
      </w:r>
      <w:proofErr w:type="spellEnd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  <w:t>21.</w:t>
      </w:r>
      <w:proofErr w:type="spellStart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val="en-US" w:eastAsia="ru-RU"/>
        </w:rPr>
        <w:t>ru</w:t>
      </w:r>
      <w:proofErr w:type="spellEnd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  <w:t>/</w:t>
      </w:r>
      <w:proofErr w:type="spellStart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val="en-US" w:eastAsia="ru-RU"/>
        </w:rPr>
        <w:t>uslugi</w:t>
      </w:r>
      <w:proofErr w:type="spellEnd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  <w:t>/</w:t>
      </w:r>
      <w:proofErr w:type="spellStart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val="en-US" w:eastAsia="ru-RU"/>
        </w:rPr>
        <w:t>olimpiadyi</w:t>
      </w:r>
      <w:proofErr w:type="spellEnd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  <w:t>-</w:t>
      </w:r>
      <w:proofErr w:type="spellStart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val="en-US" w:eastAsia="ru-RU"/>
        </w:rPr>
        <w:t>i</w:t>
      </w:r>
      <w:proofErr w:type="spellEnd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  <w:t>-</w:t>
      </w:r>
      <w:proofErr w:type="spellStart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val="en-US" w:eastAsia="ru-RU"/>
        </w:rPr>
        <w:t>konkursyi</w:t>
      </w:r>
      <w:proofErr w:type="spellEnd"/>
      <w:r w:rsidRPr="00272696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  <w:t xml:space="preserve"> </w:t>
      </w:r>
    </w:p>
    <w:p w:rsidR="00272696" w:rsidRPr="00272696" w:rsidRDefault="00FC77E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hyperlink r:id="rId11" w:history="1">
        <w:r w:rsidR="00272696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http</w:t>
        </w:r>
        <w:r w:rsidR="00272696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://</w:t>
        </w:r>
        <w:proofErr w:type="spellStart"/>
        <w:r w:rsidR="00272696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emc</w:t>
        </w:r>
        <w:proofErr w:type="spellEnd"/>
        <w:r w:rsidR="00272696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21.</w:t>
        </w:r>
        <w:proofErr w:type="spellStart"/>
        <w:r w:rsidR="00272696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ru</w:t>
        </w:r>
        <w:proofErr w:type="spellEnd"/>
      </w:hyperlink>
      <w:r w:rsidR="00272696" w:rsidRPr="002726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Квитанцию для оплаты </w:t>
      </w:r>
      <w:r w:rsidR="001861C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и заявку для заполнения данных </w:t>
      </w:r>
      <w:r w:rsidRPr="002726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можно самостоятельно подготовить и распечатать на сайте </w:t>
      </w:r>
      <w:hyperlink r:id="rId12" w:history="1"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http</w:t>
        </w:r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://</w:t>
        </w:r>
        <w:proofErr w:type="spellStart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emc</w:t>
        </w:r>
        <w:proofErr w:type="spellEnd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21.</w:t>
        </w:r>
        <w:proofErr w:type="spellStart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ru</w:t>
        </w:r>
        <w:proofErr w:type="spellEnd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/</w:t>
        </w:r>
        <w:proofErr w:type="spellStart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uslugi</w:t>
        </w:r>
        <w:proofErr w:type="spellEnd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/</w:t>
        </w:r>
        <w:proofErr w:type="spellStart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olimpiadyi</w:t>
        </w:r>
        <w:proofErr w:type="spellEnd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-</w:t>
        </w:r>
        <w:proofErr w:type="spellStart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i</w:t>
        </w:r>
        <w:proofErr w:type="spellEnd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-</w:t>
        </w:r>
        <w:proofErr w:type="spellStart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konkursyi</w:t>
        </w:r>
        <w:proofErr w:type="spellEnd"/>
      </w:hyperlink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Cs/>
          <w:color w:val="0000FF"/>
          <w:spacing w:val="-6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Требования к оформлению конкурсной работы 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конкурсе необходимо представить следующие материалы:</w:t>
      </w:r>
    </w:p>
    <w:p w:rsidR="00272696" w:rsidRPr="00272696" w:rsidRDefault="00272696" w:rsidP="002345F8">
      <w:pPr>
        <w:numPr>
          <w:ilvl w:val="0"/>
          <w:numId w:val="4"/>
        </w:numPr>
        <w:shd w:val="clear" w:color="auto" w:fill="FFFFFF"/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(обоснование) представленных материалов объемом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страницы,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общая характеристика представляемой конкурсной работы, её назначение (</w:t>
      </w:r>
      <w:r w:rsidRPr="00272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2696" w:rsidRPr="00272696" w:rsidRDefault="00272696" w:rsidP="002345F8">
      <w:pPr>
        <w:numPr>
          <w:ilvl w:val="0"/>
          <w:numId w:val="4"/>
        </w:numPr>
        <w:shd w:val="clear" w:color="auto" w:fill="FFFFFF"/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конкурсную работу (</w:t>
      </w:r>
      <w:r w:rsidRPr="00272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272696" w:rsidRPr="00272696" w:rsidRDefault="00272696" w:rsidP="002345F8">
      <w:pPr>
        <w:numPr>
          <w:ilvl w:val="0"/>
          <w:numId w:val="4"/>
        </w:numPr>
        <w:shd w:val="clear" w:color="auto" w:fill="FFFFFF"/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186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видеоматериалы проведения (</w:t>
      </w:r>
      <w:r w:rsidRPr="00272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имеются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2696" w:rsidRPr="00272696" w:rsidRDefault="00272696" w:rsidP="002345F8">
      <w:pPr>
        <w:numPr>
          <w:ilvl w:val="0"/>
          <w:numId w:val="4"/>
        </w:numPr>
        <w:shd w:val="clear" w:color="auto" w:fill="FFFFFF"/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или другие материалы: плакаты, презентации, клипы, коллекция картинок, музыка, которая использовалась и т.д. (</w:t>
      </w:r>
      <w:r w:rsidRPr="00272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имеются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 конкурс принимаются работы объемом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3 страниц, </w:t>
      </w:r>
      <w:r w:rsidR="0023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более 12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страниц.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конкурсная работа размещается на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отдельном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файле или в папке с пометкой «Конкурсная работа».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2726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Описание может содержать графические иллюстрации, включая скриншоты, и </w:t>
      </w:r>
      <w:r w:rsidRPr="002726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696">
        <w:rPr>
          <w:rFonts w:ascii="Times New Roman" w:eastAsia="Calibri" w:hAnsi="Times New Roman" w:cs="Times New Roman"/>
          <w:sz w:val="24"/>
          <w:szCs w:val="24"/>
        </w:rPr>
        <w:t>7.4.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Аннотация и конкурсные материалы, </w:t>
      </w:r>
      <w:r w:rsidRPr="00272696">
        <w:rPr>
          <w:rFonts w:ascii="Times New Roman" w:eastAsia="Calibri" w:hAnsi="Times New Roman" w:cs="Times New Roman"/>
          <w:sz w:val="24"/>
          <w:szCs w:val="24"/>
          <w:u w:val="single"/>
        </w:rPr>
        <w:t>предназначенные для размещения в электронном пособии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, должны быть выполнены в редакторе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272696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272696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272696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272696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(без использования клавиш «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272696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272696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272696" w:rsidRPr="00272696" w:rsidRDefault="00272696" w:rsidP="00272696">
      <w:pPr>
        <w:tabs>
          <w:tab w:val="left" w:pos="360"/>
        </w:tabs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2" name="Рисунок 2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6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1" name="Рисунок 1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схемы должны представлять собой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таблицами.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7.6.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Список литературы о</w:t>
      </w:r>
      <w:r w:rsidRPr="00272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формляется в соответствии с</w:t>
      </w:r>
      <w:r w:rsidRPr="00272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ГОСТ </w:t>
      </w:r>
      <w:r w:rsidRPr="002726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272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272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допускается</w:t>
      </w:r>
      <w:r w:rsidRPr="00272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п.6. настоящего положения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96" w:rsidRPr="00272696" w:rsidRDefault="00272696" w:rsidP="0038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заголовка, текста статьи и списка литературы</w:t>
      </w:r>
    </w:p>
    <w:p w:rsidR="0038486D" w:rsidRDefault="0038486D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696" w:rsidRPr="00F64954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Иван Иванович,</w:t>
      </w:r>
    </w:p>
    <w:p w:rsidR="00EF2377" w:rsidRPr="00F64954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класс, МОУ «СОШ №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12»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272696" w:rsidRPr="00272696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Чебоксары, Чувашская Республика</w:t>
      </w:r>
      <w:bookmarkStart w:id="0" w:name="_GoBack"/>
      <w:bookmarkEnd w:id="0"/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В РУССКОЙ И ЗАРУБЕЖНОЙ ЛИТЕРАТУРЕ</w:t>
      </w:r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Текст, Текст, Текст, Текст, Текст, Текст, Текст, Текст, Текст, Текст.</w:t>
      </w:r>
    </w:p>
    <w:p w:rsidR="0091336C" w:rsidRDefault="0091336C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696" w:rsidRPr="0091336C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</w:p>
    <w:p w:rsidR="00272696" w:rsidRPr="0091336C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1. Достоевский</w:t>
      </w:r>
      <w:r w:rsidR="0091336C" w:rsidRPr="0091336C">
        <w:rPr>
          <w:rFonts w:ascii="Times New Roman" w:eastAsia="Times New Roman" w:hAnsi="Times New Roman" w:cs="Times New Roman"/>
          <w:color w:val="000000"/>
          <w:lang w:eastAsia="ru-RU"/>
        </w:rPr>
        <w:t xml:space="preserve"> Ф.М</w:t>
      </w: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. Собрание сочинений в 15-ти томах. – Л.: Наука, 1989. – Т. 5. – 519 с.</w:t>
      </w:r>
    </w:p>
    <w:p w:rsidR="00272696" w:rsidRPr="0091336C" w:rsidRDefault="0091336C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2696" w:rsidRPr="0091336C">
        <w:rPr>
          <w:rFonts w:ascii="Times New Roman" w:eastAsia="Times New Roman" w:hAnsi="Times New Roman" w:cs="Times New Roman"/>
          <w:color w:val="000000"/>
          <w:lang w:eastAsia="ru-RU"/>
        </w:rPr>
        <w:t xml:space="preserve">Символика цвета в романе Достоевского «Преступление и наказание» [Электронный ресурс]. – Режим доступа: </w:t>
      </w:r>
      <w:hyperlink r:id="rId15" w:history="1">
        <w:r w:rsidR="00272696" w:rsidRPr="0091336C">
          <w:rPr>
            <w:rFonts w:ascii="Times New Roman" w:eastAsia="Times New Roman" w:hAnsi="Times New Roman" w:cs="Times New Roman"/>
            <w:color w:val="000000"/>
            <w:lang w:eastAsia="ru-RU"/>
          </w:rPr>
          <w:t>http://www.velib.com/text_sochin.php?id=1969</w:t>
        </w:r>
      </w:hyperlink>
      <w:r w:rsidR="00272696" w:rsidRPr="009133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:rsidR="00272696" w:rsidRPr="00272696" w:rsidRDefault="00272696" w:rsidP="00272696">
      <w:pP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:rsidR="00272696" w:rsidRPr="00272696" w:rsidRDefault="00272696" w:rsidP="00272696">
      <w:pP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Стоимость участия в Конкурсе.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Каждый участник Конкурса оплачивает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взнос за участие в Конкурсе в размере 870 рублей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дополнительный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(соавторы)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или диплом, выдаваемый по итогам Конкурса, оплачивается отдельно –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рублей за один документ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за участие в Конкурсе компенсирует следующие затраты: оплату экспертам, налоги, почтовые расходы (пересылку документов почтой России по итогам Конкурса: дипломов Победителей и Лауреатов или сертификатов участия (пересылка в страны Зарубежья оплачивается дополнительно в</w:t>
      </w:r>
      <w:r w:rsidR="00E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весом бандероли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вёрстку работ, услуги связи, оформление сертификатов, дипломов, свидетельств, изготовление именной медали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абсолютного победителя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издание и рассылка (Почтой России) электронных сборников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272696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cognitus21@mail.ru</w:t>
        </w:r>
      </w:hyperlink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 1 (одну) опубликованную конкурсную работу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бесплатно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(один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 электронного сборника, в котором опубликована данная работа,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независимо от числа соавторов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приобрести дополнительные экземпляры </w:t>
      </w:r>
      <w:r w:rsidR="00E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</w:t>
      </w:r>
      <w:r w:rsidR="00E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(диск)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дополнительного экземпляра – 250 рублей (с пересылкой одного сборника).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8.5.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оплаты предоставляются авторам после одобрения и принятия статьи.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которого осуществлялась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электронный адрес, указанный в заявке.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8.6.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по итогам Конкурса (не считая соавторов) получает сертификат участника, лауреаты Конкурса – дипломы лауреатов, победители (I, II, III места) – дипломы победителей; 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набравший наибольшее количество баллов, 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Абсолютны</w:t>
      </w:r>
      <w:r w:rsidR="0038486D"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победител</w:t>
      </w:r>
      <w:r w:rsidR="0038486D"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именной </w:t>
      </w:r>
      <w:r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медалью Победителя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 дипломе делается отметка, подтверждающая факт вручения медали.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Абсолютный победитель получает право на одну бесплатную публикацию (объемом не более 3 стр.) в течение двух месяцев после окончания Конкурса в сборнике (по согласованию), издаваемом Экспе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ртно-методическим центром (www: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emc21.ru), победители, занявшие I место, получают скидку (30%) на публикацию своей статьи в сборнике (по согласованию); конкурсанты, занявшие II, III места, получа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скидку (20%) на публикацию своей статьи в сборнике (по согласованию) (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: cognitus21@mail.ru).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9.3. Победителями конкурса становятся 5% участников конкурса, набравших наибольшее количество баллов, лауреатами</w:t>
      </w:r>
      <w:r w:rsidR="007548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20%.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9.4.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Электронный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сборник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Конкурса высылается авторам, опубликовавшим в нём свои работы, в течение 45 дней с момента подведения итогов Конкурса.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пакет наградных бланков и приз – в течение 45 дней с момента подведения итогов Конкурса.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Каждый участник может получить дополнительно (по желанию)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именную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медаль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за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участие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конкурсе (стоимость 1150 рублей). Медаль выполнена из сплавов металла, покрытие под античное золото или серебро, толщина медали </w:t>
      </w:r>
      <w:smartTag w:uri="urn:schemas-microsoft-com:office:smarttags" w:element="metricconverter">
        <w:smartTagPr>
          <w:attr w:name="ProductID" w:val="3 мм"/>
        </w:smartTagPr>
        <w:r w:rsidRPr="0027269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3 мм</w:t>
        </w:r>
      </w:smartTag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диаметр </w:t>
      </w:r>
      <w:smartTag w:uri="urn:schemas-microsoft-com:office:smarttags" w:element="metricconverter">
        <w:smartTagPr>
          <w:attr w:name="ProductID" w:val="70 мм"/>
        </w:smartTagPr>
        <w:r w:rsidRPr="0027269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70 мм</w:t>
        </w:r>
      </w:smartTag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Медаль упакована в коробочку – подставку. Поздравительный текст печатается на гладком металлическом (под золото или серебро)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Pr="0027269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50 мм</w:t>
        </w:r>
      </w:smartTag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9.6.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Победители и лауреаты Конкурса могут дополнительно заказать кубок Победителя (стоимость кубка с именной накладкой – 21-</w:t>
      </w:r>
      <w:smartTag w:uri="urn:schemas-microsoft-com:office:smarttags" w:element="metricconverter">
        <w:smartTagPr>
          <w:attr w:name="ProductID" w:val="22 см"/>
        </w:smartTagPr>
        <w:r w:rsidRPr="0027269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22 см</w:t>
        </w:r>
      </w:smartTag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1</w:t>
      </w:r>
      <w:r w:rsidR="00464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75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="009133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руб.; 27-</w:t>
      </w:r>
      <w:smartTag w:uri="urn:schemas-microsoft-com:office:smarttags" w:element="metricconverter">
        <w:smartTagPr>
          <w:attr w:name="ProductID" w:val="29 см"/>
        </w:smartTagPr>
        <w:r w:rsidRPr="0027269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29 см</w:t>
        </w:r>
      </w:smartTag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548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="00464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95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 руб.).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вручения медали или кубка подтверждается сертификатом.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Контактные данные Оргкомитета</w:t>
      </w:r>
    </w:p>
    <w:p w:rsidR="00272696" w:rsidRPr="00272696" w:rsidRDefault="00272696" w:rsidP="00754832">
      <w:pPr>
        <w:spacing w:after="0" w:line="216" w:lineRule="auto"/>
        <w:ind w:left="567"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ул. Калинина, д. 66, офис 431, 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«Экспертно-методический центр»</w:t>
      </w:r>
    </w:p>
    <w:p w:rsidR="00272696" w:rsidRPr="00272696" w:rsidRDefault="00272696" w:rsidP="00754832">
      <w:pPr>
        <w:spacing w:after="0" w:line="216" w:lineRule="auto"/>
        <w:ind w:right="-8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8(8352) 64-17-41</w:t>
      </w:r>
    </w:p>
    <w:p w:rsidR="00272696" w:rsidRPr="00272696" w:rsidRDefault="00272696" w:rsidP="00754832">
      <w:pPr>
        <w:spacing w:after="0" w:line="216" w:lineRule="auto"/>
        <w:ind w:right="-82" w:firstLine="567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E-mail:</w:t>
      </w:r>
      <w:r w:rsidRPr="002726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hyperlink r:id="rId17" w:history="1">
        <w:r w:rsidRPr="0027269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cognitus</w:t>
        </w:r>
        <w:r w:rsidRPr="002726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21@</w:t>
        </w:r>
        <w:r w:rsidRPr="0027269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2726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27269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27269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272696" w:rsidRPr="00272696" w:rsidRDefault="00272696" w:rsidP="00754832">
      <w:pPr>
        <w:spacing w:after="0" w:line="216" w:lineRule="auto"/>
        <w:ind w:right="-82" w:firstLine="56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: </w:t>
      </w:r>
      <w:r w:rsidRPr="0027269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fr-FR" w:eastAsia="ru-RU"/>
        </w:rPr>
        <w:t xml:space="preserve">emc21.ru </w:t>
      </w:r>
    </w:p>
    <w:p w:rsidR="00272696" w:rsidRPr="00272696" w:rsidRDefault="00272696" w:rsidP="00754832">
      <w:pPr>
        <w:spacing w:after="0" w:line="216" w:lineRule="auto"/>
        <w:ind w:right="-8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лица – Марина Алексеевна, Анна 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tabs>
          <w:tab w:val="left" w:pos="6261"/>
          <w:tab w:val="right" w:pos="10260"/>
        </w:tabs>
        <w:spacing w:after="0" w:line="216" w:lineRule="auto"/>
        <w:ind w:right="-6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48D" w:rsidRDefault="005A148D"/>
    <w:sectPr w:rsidR="005A148D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CD1"/>
    <w:multiLevelType w:val="hybridMultilevel"/>
    <w:tmpl w:val="D3ACF6E4"/>
    <w:lvl w:ilvl="0" w:tplc="2904033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9CF"/>
    <w:multiLevelType w:val="hybridMultilevel"/>
    <w:tmpl w:val="BB0424B2"/>
    <w:lvl w:ilvl="0" w:tplc="877E5D4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F5B"/>
    <w:multiLevelType w:val="hybridMultilevel"/>
    <w:tmpl w:val="C21E9E80"/>
    <w:lvl w:ilvl="0" w:tplc="A72CCB4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96"/>
    <w:rsid w:val="001364BC"/>
    <w:rsid w:val="001861C5"/>
    <w:rsid w:val="002345F8"/>
    <w:rsid w:val="00272696"/>
    <w:rsid w:val="002A10E3"/>
    <w:rsid w:val="0038486D"/>
    <w:rsid w:val="0046456D"/>
    <w:rsid w:val="0051626A"/>
    <w:rsid w:val="00551BB4"/>
    <w:rsid w:val="005A148D"/>
    <w:rsid w:val="005A278C"/>
    <w:rsid w:val="00660E2C"/>
    <w:rsid w:val="0071387A"/>
    <w:rsid w:val="00754832"/>
    <w:rsid w:val="007E2482"/>
    <w:rsid w:val="00820151"/>
    <w:rsid w:val="008513A7"/>
    <w:rsid w:val="0091336C"/>
    <w:rsid w:val="00974CE9"/>
    <w:rsid w:val="00EB75EB"/>
    <w:rsid w:val="00EF2377"/>
    <w:rsid w:val="00F46789"/>
    <w:rsid w:val="00F64954"/>
    <w:rsid w:val="00FC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61C5"/>
    <w:rPr>
      <w:strike w:val="0"/>
      <w:dstrike w:val="0"/>
      <w:color w:val="1263A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21.ru" TargetMode="External"/><Relationship Id="rId12" Type="http://schemas.openxmlformats.org/officeDocument/2006/relationships/hyperlink" Target="http://emc21.ru/uslugi/olimpiadyi-i-konkursyi" TargetMode="External"/><Relationship Id="rId17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ognitus21@mail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1" Type="http://schemas.openxmlformats.org/officeDocument/2006/relationships/hyperlink" Target="http://emc21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elib.com/text_sochin.php?id=1969" TargetMode="External"/><Relationship Id="rId10" Type="http://schemas.openxmlformats.org/officeDocument/2006/relationships/hyperlink" Target="mailto:cognitus21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12</cp:revision>
  <dcterms:created xsi:type="dcterms:W3CDTF">2015-11-10T10:02:00Z</dcterms:created>
  <dcterms:modified xsi:type="dcterms:W3CDTF">2015-11-25T10:15:00Z</dcterms:modified>
</cp:coreProperties>
</file>